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9BB28" w14:textId="44F26667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atenția  părinților/tutorilor legal instituiți/ reprezentanților legali ai copiilor care la data 01.09.202</w:t>
      </w:r>
      <w:r w:rsidR="001F63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 vârsta de 6 ani împliniți și pentru care se solicită menținerea în grădiniță peste vârsta legală de școlarizare, adică amânarea școlarizării în anul </w:t>
      </w:r>
      <w:r w:rsidR="003C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școlar 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C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3C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702DD827" w14:textId="77777777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A3C37" w14:textId="6D9BC8FA" w:rsidR="007C31CF" w:rsidRPr="0077266C" w:rsidRDefault="007C31CF" w:rsidP="003C06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/>
      <w:bookmarkEnd w:id="1"/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perioada 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>părinții/tutorii legal instituiți/ reprezentanții legali ai căror copii împlinesc vârsta de 6 ani pâna la data de 31 august 202</w:t>
      </w:r>
      <w:r w:rsidR="001F632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vor transmite o cerere de amânare la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Registratura ISJ Timiș - </w:t>
      </w:r>
      <w:hyperlink r:id="rId9" w:history="1">
        <w:r w:rsidR="001F6323" w:rsidRPr="008F41A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registratura@isjtm.ro</w:t>
        </w:r>
      </w:hyperlink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primar.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Cererea va fi însoțită de adeverința medicală eliberată de medicul de familie care atestă prezența  unor afecțiuni acute severe sau cronice care pot constitui cauze de amânare a începerii școlarizării la vârsta de 6 ani conform 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din Ordinul 430/2004 al Ministerului Sănătății publicat în M.OF. nr. 377/29.04.2004.</w:t>
      </w:r>
    </w:p>
    <w:p w14:paraId="4E74E11F" w14:textId="77777777" w:rsidR="007C31CF" w:rsidRPr="0077266C" w:rsidRDefault="007C31CF" w:rsidP="003C064A">
      <w:pPr>
        <w:tabs>
          <w:tab w:val="left" w:pos="1275"/>
        </w:tabs>
        <w:spacing w:after="0" w:line="360" w:lineRule="auto"/>
        <w:ind w:left="-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Cererile de amânare a înscrierii în clasa pregătitoare vor fi analizate și soluționate de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astfel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74ED459D" w14:textId="00150543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a) Dacă se constată că afecțiunea acută severă sau cronică din adeverința medicală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Ordinul 430/2004 pentru aprobarea Baremului medical cu afecțiunile care pot constitui cauze de amânare a începerii școlarizării la vârsta de 6 ani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aproba cererea prin care se solicită amânarea înscrierii în clasa pregătitoare în anul școlar 202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F63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492B1" w14:textId="68AE7780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b) Dacă se constată că afecțiunea din adeverința medicală </w:t>
      </w:r>
      <w:r w:rsidRPr="0077266C">
        <w:rPr>
          <w:rFonts w:ascii="Times New Roman" w:eastAsia="Times New Roman" w:hAnsi="Times New Roman" w:cs="Times New Roman"/>
          <w:b/>
          <w:sz w:val="24"/>
          <w:szCs w:val="24"/>
        </w:rPr>
        <w:t>nu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Ordinul 430/2004,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respinge cererea prin care se solicită amânarea înscrierii în clasa pregătitoare în anul școlar 202</w:t>
      </w:r>
      <w:r w:rsidR="003C06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C064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C777A" w14:textId="77777777" w:rsidR="007C31CF" w:rsidRPr="0077266C" w:rsidRDefault="007C31CF" w:rsidP="007C31CF">
      <w:pPr>
        <w:rPr>
          <w:rFonts w:ascii="Times New Roman" w:eastAsia="Calibri" w:hAnsi="Times New Roman" w:cs="Times New Roman"/>
          <w:sz w:val="24"/>
          <w:szCs w:val="24"/>
        </w:rPr>
      </w:pPr>
    </w:p>
    <w:p w14:paraId="5A1061BB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418217AD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36D33266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5F4131C5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631F2DAD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0953B4E1" w14:textId="77777777" w:rsidR="007C31CF" w:rsidRPr="0077266C" w:rsidRDefault="007C31CF" w:rsidP="003C064A">
      <w:pPr>
        <w:rPr>
          <w:rFonts w:ascii="Times New Roman" w:eastAsia="Times" w:hAnsi="Times New Roman" w:cs="Times New Roman"/>
          <w:sz w:val="24"/>
          <w:szCs w:val="24"/>
        </w:rPr>
      </w:pPr>
    </w:p>
    <w:p w14:paraId="6B4EE2B1" w14:textId="73777998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b/>
          <w:sz w:val="24"/>
          <w:szCs w:val="24"/>
        </w:rPr>
        <w:lastRenderedPageBreak/>
        <w:t>Anexa nr. 2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la Procedura Operațională P 10.17 privind înscrierea în învățământul primar 202</w:t>
      </w:r>
      <w:r w:rsidR="003C064A">
        <w:rPr>
          <w:rFonts w:ascii="Times New Roman" w:eastAsia="Times" w:hAnsi="Times New Roman" w:cs="Times New Roman"/>
          <w:sz w:val="24"/>
          <w:szCs w:val="24"/>
        </w:rPr>
        <w:t>3</w:t>
      </w:r>
      <w:r w:rsidRPr="0077266C">
        <w:rPr>
          <w:rFonts w:ascii="Times New Roman" w:eastAsia="Times" w:hAnsi="Times New Roman" w:cs="Times New Roman"/>
          <w:sz w:val="24"/>
          <w:szCs w:val="24"/>
        </w:rPr>
        <w:t>/202</w:t>
      </w:r>
      <w:r w:rsidR="003C064A">
        <w:rPr>
          <w:rFonts w:ascii="Times New Roman" w:eastAsia="Times" w:hAnsi="Times New Roman" w:cs="Times New Roman"/>
          <w:sz w:val="24"/>
          <w:szCs w:val="24"/>
        </w:rPr>
        <w:t>4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- Situații excepționale care </w:t>
      </w:r>
      <w:r w:rsidRPr="0077266C">
        <w:rPr>
          <w:rFonts w:ascii="Times New Roman" w:hAnsi="Times New Roman" w:cs="Times New Roman"/>
          <w:sz w:val="24"/>
          <w:szCs w:val="24"/>
        </w:rPr>
        <w:t>necesită amânarea înscrierii în învătământul primar sau cele care nu se încadrează în Calendarul înscrierii în învătământul primar”</w:t>
      </w:r>
    </w:p>
    <w:p w14:paraId="723D65C7" w14:textId="77777777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</w:p>
    <w:p w14:paraId="38767423" w14:textId="77777777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77266C">
        <w:rPr>
          <w:rFonts w:ascii="Times New Roman" w:eastAsia="Times" w:hAnsi="Times New Roman" w:cs="Times New Roman"/>
          <w:sz w:val="24"/>
          <w:szCs w:val="24"/>
          <w:u w:val="single"/>
        </w:rPr>
        <w:t xml:space="preserve">CĂTRE COMISIA JUDEȚEANĂ DE ÎNSCRIERE A COPIILOR ÎN ÎNVĂȚĂMÂNTUL PRIMAR </w:t>
      </w:r>
    </w:p>
    <w:p w14:paraId="15569F4C" w14:textId="77777777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3729EC38" w14:textId="6848BE8A" w:rsidR="007C31CF" w:rsidRPr="003C064A" w:rsidRDefault="007C31CF" w:rsidP="003C064A">
      <w:pPr>
        <w:spacing w:after="0" w:line="480" w:lineRule="auto"/>
        <w:ind w:firstLine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Subsemnata/ul,______________________________________________________________</w:t>
      </w:r>
    </w:p>
    <w:p w14:paraId="5E57F05E" w14:textId="49C2A041" w:rsidR="007C31CF" w:rsidRPr="003C064A" w:rsidRDefault="007C31CF" w:rsidP="003C064A">
      <w:pPr>
        <w:spacing w:after="0" w:line="48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cu domiciliul/reședința în localitatea ____________________________________________________</w:t>
      </w:r>
    </w:p>
    <w:p w14:paraId="025519F9" w14:textId="4511BADB" w:rsidR="003C064A" w:rsidRPr="003C064A" w:rsidRDefault="007C31CF" w:rsidP="003C064A">
      <w:pPr>
        <w:spacing w:after="0" w:line="48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3C064A">
        <w:rPr>
          <w:rFonts w:ascii="Times New Roman" w:eastAsia="Times" w:hAnsi="Times New Roman" w:cs="Times New Roman"/>
          <w:sz w:val="24"/>
          <w:szCs w:val="24"/>
        </w:rPr>
        <w:t>str._____________,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sz w:val="24"/>
          <w:szCs w:val="24"/>
        </w:rPr>
        <w:t>nr.____, bl.___,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sz w:val="24"/>
          <w:szCs w:val="24"/>
        </w:rPr>
        <w:t>sc._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__ </w:t>
      </w:r>
      <w:r w:rsidRPr="003C064A">
        <w:rPr>
          <w:rFonts w:ascii="Times New Roman" w:eastAsia="Times" w:hAnsi="Times New Roman" w:cs="Times New Roman"/>
          <w:sz w:val="24"/>
          <w:szCs w:val="24"/>
        </w:rPr>
        <w:t>tel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Pr="003C064A">
        <w:rPr>
          <w:rFonts w:ascii="Times New Roman" w:eastAsia="Times" w:hAnsi="Times New Roman" w:cs="Times New Roman"/>
          <w:sz w:val="24"/>
          <w:szCs w:val="24"/>
        </w:rPr>
        <w:t>_____________________, mama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sz w:val="24"/>
          <w:szCs w:val="24"/>
        </w:rPr>
        <w:t>/tata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sz w:val="24"/>
          <w:szCs w:val="24"/>
        </w:rPr>
        <w:t>/tutorele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3C064A">
        <w:rPr>
          <w:rFonts w:ascii="Times New Roman" w:eastAsia="Times" w:hAnsi="Times New Roman" w:cs="Times New Roman"/>
          <w:sz w:val="24"/>
          <w:szCs w:val="24"/>
        </w:rPr>
        <w:t>/reprezentatul legal al minorului/minorei _______________________________________________</w:t>
      </w:r>
      <w:r w:rsidR="003C064A" w:rsidRPr="003C064A">
        <w:rPr>
          <w:rFonts w:ascii="Times New Roman" w:eastAsia="Times" w:hAnsi="Times New Roman" w:cs="Times New Roman"/>
          <w:sz w:val="24"/>
          <w:szCs w:val="24"/>
        </w:rPr>
        <w:t xml:space="preserve">_ 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născut/ă la data de _________________, vă rog să aprobați amânarea înscrierii acestuia/acesteia în învățământul primar în anul școlar 202</w:t>
      </w:r>
      <w:r w:rsidR="003C064A"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3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/202</w:t>
      </w:r>
      <w:r w:rsidR="003C064A"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>4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în conformitate cu prevederile art.53(2) din OME nr. </w:t>
      </w:r>
      <w:r w:rsidRPr="003C064A">
        <w:rPr>
          <w:rFonts w:ascii="Times New Roman" w:eastAsia="Times New Roman" w:hAnsi="Times New Roman" w:cs="Times New Roman"/>
          <w:color w:val="333333"/>
          <w:sz w:val="24"/>
          <w:szCs w:val="24"/>
        </w:rPr>
        <w:t>3445 din 17.03.2022</w:t>
      </w:r>
      <w:r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privind aprobarea </w:t>
      </w:r>
      <w:r w:rsidRPr="003C064A">
        <w:rPr>
          <w:rFonts w:ascii="Times New Roman" w:eastAsia="Times" w:hAnsi="Times New Roman" w:cs="Times New Roman"/>
          <w:i/>
          <w:color w:val="000000"/>
          <w:sz w:val="24"/>
          <w:szCs w:val="24"/>
        </w:rPr>
        <w:t>Metodologiei de înscriere a copiilor în învățământul primar pentru anul școlar 2022/2023</w:t>
      </w:r>
      <w:r w:rsidR="003C064A" w:rsidRPr="003C064A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și a </w:t>
      </w:r>
      <w:r w:rsidR="003C064A" w:rsidRPr="003C06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Calendarului înscrierii în învățământul primar pentru anul școlar 2023-2024</w:t>
      </w:r>
      <w:r w:rsidR="003C064A">
        <w:rPr>
          <w:rFonts w:ascii="Times New Roman" w:hAnsi="Times New Roman" w:cs="Times New Roman"/>
          <w:color w:val="000000"/>
          <w:sz w:val="24"/>
          <w:szCs w:val="24"/>
        </w:rPr>
        <w:t xml:space="preserve">, aprobat prin </w:t>
      </w:r>
      <w:r w:rsidR="003C064A" w:rsidRPr="003C064A">
        <w:rPr>
          <w:rFonts w:ascii="Times New Roman" w:hAnsi="Times New Roman" w:cs="Times New Roman"/>
          <w:color w:val="000000"/>
          <w:sz w:val="24"/>
          <w:szCs w:val="24"/>
        </w:rPr>
        <w:t>Ordinul nr. 3704/17.02.2023</w:t>
      </w:r>
      <w:r w:rsidR="003C06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A57F1A" w14:textId="15D20B00" w:rsidR="007C31CF" w:rsidRPr="0077266C" w:rsidRDefault="007C31CF" w:rsidP="007C31CF">
      <w:pPr>
        <w:shd w:val="clear" w:color="auto" w:fill="FFFFFF"/>
        <w:spacing w:after="150" w:line="240" w:lineRule="auto"/>
        <w:jc w:val="both"/>
        <w:rPr>
          <w:rFonts w:ascii="Times New Roman" w:eastAsia="Roboto Condensed" w:hAnsi="Times New Roman" w:cs="Times New Roman"/>
          <w:color w:val="333333"/>
          <w:sz w:val="24"/>
          <w:szCs w:val="24"/>
        </w:rPr>
      </w:pPr>
    </w:p>
    <w:p w14:paraId="2209CC1C" w14:textId="77777777" w:rsidR="007C31CF" w:rsidRPr="0077266C" w:rsidRDefault="007C31CF" w:rsidP="007C31CF">
      <w:pPr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sz w:val="24"/>
          <w:szCs w:val="24"/>
        </w:rPr>
        <w:tab/>
        <w:t xml:space="preserve">Anexez prezentei, adeverința medicală eliberată de medicul de familie care atestă afecțiunea acută severă sau cronică ce poate constitui cauză de amânare a începerii școlarizării la vârsta de 6 ani, conform </w:t>
      </w:r>
      <w:r w:rsidRPr="0077266C">
        <w:rPr>
          <w:rFonts w:ascii="Times New Roman" w:eastAsia="Times" w:hAnsi="Times New Roman" w:cs="Times New Roman"/>
          <w:i/>
          <w:sz w:val="24"/>
          <w:szCs w:val="24"/>
        </w:rPr>
        <w:t>Baremului medical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prevăzut în </w:t>
      </w:r>
      <w:r w:rsidRPr="0077266C">
        <w:rPr>
          <w:rFonts w:ascii="Times New Roman" w:hAnsi="Times New Roman" w:cs="Times New Roman"/>
          <w:i/>
          <w:sz w:val="24"/>
          <w:szCs w:val="24"/>
        </w:rPr>
        <w:t>Ordinul 430/2004 al Ministerului Sănătății publicat în M.OF. nr. 377/29.04.2004</w:t>
      </w:r>
      <w:r w:rsidRPr="0077266C">
        <w:rPr>
          <w:rFonts w:ascii="Times New Roman" w:eastAsia="Times" w:hAnsi="Times New Roman" w:cs="Times New Roman"/>
          <w:sz w:val="24"/>
          <w:szCs w:val="24"/>
        </w:rPr>
        <w:t>.</w:t>
      </w:r>
    </w:p>
    <w:p w14:paraId="6CE80279" w14:textId="77777777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</w:p>
    <w:p w14:paraId="1BB3C48F" w14:textId="77777777" w:rsidR="007C31CF" w:rsidRPr="0077266C" w:rsidRDefault="007C31CF" w:rsidP="007C31CF">
      <w:pPr>
        <w:rPr>
          <w:rFonts w:ascii="Times New Roman" w:eastAsia="Calibri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 xml:space="preserve">Data:                                                                               Semnătura: </w:t>
      </w:r>
    </w:p>
    <w:p w14:paraId="5A886B4D" w14:textId="77777777" w:rsidR="007C31CF" w:rsidRPr="0077266C" w:rsidRDefault="007C31CF" w:rsidP="007C31CF">
      <w:pPr>
        <w:rPr>
          <w:rFonts w:ascii="Times New Roman" w:eastAsia="Times" w:hAnsi="Times New Roman" w:cs="Times New Roman"/>
          <w:b/>
          <w:sz w:val="24"/>
          <w:szCs w:val="24"/>
        </w:rPr>
      </w:pPr>
    </w:p>
    <w:p w14:paraId="3E896282" w14:textId="77777777" w:rsidR="007C31CF" w:rsidRPr="0077266C" w:rsidRDefault="007C31CF" w:rsidP="007C31CF">
      <w:pPr>
        <w:rPr>
          <w:rFonts w:ascii="Times New Roman" w:eastAsia="Times" w:hAnsi="Times New Roman" w:cs="Times New Roman"/>
          <w:b/>
          <w:sz w:val="24"/>
          <w:szCs w:val="24"/>
        </w:rPr>
      </w:pPr>
    </w:p>
    <w:p w14:paraId="3794E088" w14:textId="77777777" w:rsidR="007C31CF" w:rsidRPr="0077266C" w:rsidRDefault="007C31CF" w:rsidP="007C31CF">
      <w:pPr>
        <w:rPr>
          <w:rFonts w:ascii="Times New Roman" w:eastAsia="Times" w:hAnsi="Times New Roman" w:cs="Times New Roman"/>
          <w:b/>
          <w:sz w:val="24"/>
          <w:szCs w:val="24"/>
        </w:rPr>
      </w:pPr>
    </w:p>
    <w:p w14:paraId="657689EF" w14:textId="77777777" w:rsidR="007C31CF" w:rsidRPr="0077266C" w:rsidRDefault="007C31CF" w:rsidP="007C31CF">
      <w:pPr>
        <w:rPr>
          <w:rFonts w:ascii="Times New Roman" w:eastAsia="Times" w:hAnsi="Times New Roman" w:cs="Times New Roman"/>
          <w:b/>
          <w:sz w:val="24"/>
          <w:szCs w:val="24"/>
        </w:rPr>
      </w:pPr>
    </w:p>
    <w:p w14:paraId="0F968F70" w14:textId="77777777" w:rsidR="007C31CF" w:rsidRPr="0077266C" w:rsidRDefault="007C31CF" w:rsidP="007C31CF">
      <w:pPr>
        <w:rPr>
          <w:rFonts w:ascii="Times New Roman" w:eastAsia="Times" w:hAnsi="Times New Roman" w:cs="Times New Roman"/>
          <w:b/>
          <w:sz w:val="24"/>
          <w:szCs w:val="24"/>
        </w:rPr>
      </w:pPr>
    </w:p>
    <w:p w14:paraId="1E096799" w14:textId="1880A14E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  <w:r w:rsidRPr="0077266C">
        <w:rPr>
          <w:rFonts w:ascii="Times New Roman" w:eastAsia="Times" w:hAnsi="Times New Roman" w:cs="Times New Roman"/>
          <w:b/>
          <w:sz w:val="24"/>
          <w:szCs w:val="24"/>
        </w:rPr>
        <w:lastRenderedPageBreak/>
        <w:t>Anexa nr. 3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 la Procedura Operațională P 10.17 privind înscrierea în învățământul primar 202</w:t>
      </w:r>
      <w:r w:rsidR="003C064A">
        <w:rPr>
          <w:rFonts w:ascii="Times New Roman" w:eastAsia="Times" w:hAnsi="Times New Roman" w:cs="Times New Roman"/>
          <w:sz w:val="24"/>
          <w:szCs w:val="24"/>
        </w:rPr>
        <w:t>3</w:t>
      </w:r>
      <w:r w:rsidRPr="0077266C">
        <w:rPr>
          <w:rFonts w:ascii="Times New Roman" w:eastAsia="Times" w:hAnsi="Times New Roman" w:cs="Times New Roman"/>
          <w:sz w:val="24"/>
          <w:szCs w:val="24"/>
        </w:rPr>
        <w:t>/202</w:t>
      </w:r>
      <w:r w:rsidR="003C064A">
        <w:rPr>
          <w:rFonts w:ascii="Times New Roman" w:eastAsia="Times" w:hAnsi="Times New Roman" w:cs="Times New Roman"/>
          <w:sz w:val="24"/>
          <w:szCs w:val="24"/>
        </w:rPr>
        <w:t>4</w:t>
      </w:r>
      <w:r w:rsidRPr="0077266C">
        <w:rPr>
          <w:rFonts w:ascii="Times New Roman" w:eastAsia="Times" w:hAnsi="Times New Roman" w:cs="Times New Roman"/>
          <w:sz w:val="24"/>
          <w:szCs w:val="24"/>
        </w:rPr>
        <w:t xml:space="preserve">- Situații excepționale care </w:t>
      </w:r>
      <w:r w:rsidRPr="0077266C">
        <w:rPr>
          <w:rFonts w:ascii="Times New Roman" w:hAnsi="Times New Roman" w:cs="Times New Roman"/>
          <w:sz w:val="24"/>
          <w:szCs w:val="24"/>
        </w:rPr>
        <w:t>necesită amânarea înscrierii în învătământul primar sau cele care nu se încadrează în Calendarul înscrierii în învătământul primar”</w:t>
      </w:r>
    </w:p>
    <w:p w14:paraId="69D81CFD" w14:textId="77777777" w:rsidR="007C31CF" w:rsidRPr="0077266C" w:rsidRDefault="007C31CF" w:rsidP="007C31CF">
      <w:pPr>
        <w:rPr>
          <w:rFonts w:ascii="Times New Roman" w:eastAsia="Calibri" w:hAnsi="Times New Roman" w:cs="Times New Roman"/>
          <w:sz w:val="24"/>
          <w:szCs w:val="24"/>
        </w:rPr>
      </w:pPr>
    </w:p>
    <w:p w14:paraId="22DD0FE5" w14:textId="77777777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b/>
          <w:sz w:val="24"/>
          <w:szCs w:val="24"/>
        </w:rPr>
        <w:t>BAREMUL MEDICAL</w:t>
      </w:r>
    </w:p>
    <w:p w14:paraId="15B792F2" w14:textId="77777777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>cu afecțiunile care pot constitui cauze de amânare a începerii şcolarizării la vârsta de 6 ani:</w:t>
      </w:r>
    </w:p>
    <w:p w14:paraId="3E8CFD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before="280"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severe de nutriţie (cu greutate corporală sub 16 kg la băieți şi sub 15 kg la fete şi/sau hemoglobină sub 9,5 g/dl)</w:t>
      </w:r>
    </w:p>
    <w:p w14:paraId="41EE515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Tuberculoză (indiferent de localizare) în evoluţie şi formele recent stabilizate (sub 6 luni de la stabilizare)</w:t>
      </w:r>
    </w:p>
    <w:p w14:paraId="6EB333B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Leziuni cardiace (congenitale sau dobândite) organice, cu semne incipiente sau manifeste de decompensare</w:t>
      </w:r>
    </w:p>
    <w:p w14:paraId="6BD5089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ritm cardiac patente</w:t>
      </w:r>
    </w:p>
    <w:p w14:paraId="66B8745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circulatorii cu tulburări manifeste (arteriopatii, venopatii, limfopatii)</w:t>
      </w:r>
    </w:p>
    <w:p w14:paraId="4D53C01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Bronhopneumopatii cronice trenante</w:t>
      </w:r>
    </w:p>
    <w:p w14:paraId="20FDED3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Astm bronşic sub tratament</w:t>
      </w:r>
    </w:p>
    <w:p w14:paraId="4881C77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Hepatită virală acută (în ultimele 12 luni)</w:t>
      </w:r>
    </w:p>
    <w:p w14:paraId="35CE2FC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Hepatită cronică (persistentă sau agresivă)</w:t>
      </w:r>
    </w:p>
    <w:p w14:paraId="420C597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Sindroame de malabsorbţie neechilibrate terapeutic</w:t>
      </w:r>
    </w:p>
    <w:p w14:paraId="6ED1C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digestive cronice cu semne manifeste</w:t>
      </w:r>
    </w:p>
    <w:p w14:paraId="0023CF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Glomerulonefrită (în ultimele 12 luni)</w:t>
      </w:r>
    </w:p>
    <w:p w14:paraId="78D5E90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nefropatii cronice cu semne de decompensare</w:t>
      </w:r>
    </w:p>
    <w:p w14:paraId="4159F3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cronice feriprive cu hemoglobină sub 9,5 g/dl</w:t>
      </w:r>
    </w:p>
    <w:p w14:paraId="32DDBB0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hemolitice cu crize de hemoliză şi/sau splenomegalie</w:t>
      </w:r>
    </w:p>
    <w:p w14:paraId="7F5CC81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16. Anemie Biermer</w:t>
      </w:r>
    </w:p>
    <w:p w14:paraId="2576192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17. Talasemie majoră Cooley</w:t>
      </w:r>
    </w:p>
    <w:p w14:paraId="3EB03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Aplazii medulare</w:t>
      </w:r>
    </w:p>
    <w:p w14:paraId="09B7628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Purpură trombocitopenică idiopatică cu splenomegalie</w:t>
      </w:r>
    </w:p>
    <w:p w14:paraId="5B4A734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Agranulocitoză</w:t>
      </w:r>
    </w:p>
    <w:p w14:paraId="5235867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Hipersplenism</w:t>
      </w:r>
    </w:p>
    <w:p w14:paraId="6A757AD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Hemopatii cu sângerări</w:t>
      </w:r>
    </w:p>
    <w:p w14:paraId="37F69FF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Histiocitoză X cronică</w:t>
      </w:r>
    </w:p>
    <w:p w14:paraId="0B6385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Boala Hand-Schuller-Cristian</w:t>
      </w:r>
    </w:p>
    <w:p w14:paraId="03F2024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Sarcoidoză</w:t>
      </w:r>
    </w:p>
    <w:p w14:paraId="764F31B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Reumatism articular acut, inclusiv Coreea Sydenham (în ultimele 6 luni)</w:t>
      </w:r>
    </w:p>
    <w:p w14:paraId="573423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Reumatisme cronice în faze evolutive</w:t>
      </w:r>
    </w:p>
    <w:p w14:paraId="064F8C1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Colagenoze (lupus eritematos diseminat, sclerodermie, dermatomiozită, periarterită nodoasă)</w:t>
      </w:r>
    </w:p>
    <w:p w14:paraId="34BEA69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maligne (leucemie, limfoame şi reticuloane maligne etc.)</w:t>
      </w:r>
    </w:p>
    <w:p w14:paraId="110A1DA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Imunodeficienţe primare</w:t>
      </w:r>
    </w:p>
    <w:p w14:paraId="4C20D3A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zaharat insulinodependent tip I</w:t>
      </w:r>
    </w:p>
    <w:p w14:paraId="22659AA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Boli metabolice cu impact asupra dezvoltării somatice şi neuropsihice</w:t>
      </w:r>
    </w:p>
    <w:p w14:paraId="2EEA7D0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Tireotoxicoză (hipertiroidie)</w:t>
      </w:r>
    </w:p>
    <w:p w14:paraId="74CACA7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Tiroide cronice</w:t>
      </w:r>
    </w:p>
    <w:p w14:paraId="22C5D9B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 Insuficienţă cortico-suprarenală primară</w:t>
      </w:r>
    </w:p>
    <w:p w14:paraId="1B3D70C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Mixedem congenital</w:t>
      </w:r>
    </w:p>
    <w:p w14:paraId="1F1C90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insipid</w:t>
      </w:r>
    </w:p>
    <w:p w14:paraId="25EC1B1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Sindrom Turner</w:t>
      </w:r>
    </w:p>
    <w:p w14:paraId="6DD8C6B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Sindrom adrenogenital (hiperplazie suprarenală congenitală) cu pierdere de sare</w:t>
      </w:r>
    </w:p>
    <w:p w14:paraId="304BD6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Deficienţe de creştere staturală din orice cauză (sub 107 cm la băieţi şi sub 105 cm la fete)</w:t>
      </w:r>
    </w:p>
    <w:p w14:paraId="687CA0E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endocrinopatii manifeste</w:t>
      </w:r>
    </w:p>
    <w:p w14:paraId="1036D39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Obezitate cu insuficienţă respiratorie restrictivă sub 75%</w:t>
      </w:r>
    </w:p>
    <w:p w14:paraId="225FBE0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Întârziere mentală uşoară (coeficient de inteligenţă 50-69)</w:t>
      </w:r>
    </w:p>
    <w:p w14:paraId="4E0A67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Intelect de limită (coeficient de inteligenţă 70-89)</w:t>
      </w:r>
    </w:p>
    <w:p w14:paraId="002B490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dezvoltare a limbajului şi vorbirii</w:t>
      </w:r>
    </w:p>
    <w:p w14:paraId="179E46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specifice de dezvoltare motorie</w:t>
      </w:r>
    </w:p>
    <w:p w14:paraId="2DFF864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invalidante ale dezvoltării (autism infantil etc.)</w:t>
      </w:r>
    </w:p>
    <w:p w14:paraId="3ECE539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hiperkinetice</w:t>
      </w:r>
    </w:p>
    <w:p w14:paraId="0C69D46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emoţionale şi imaturitate afectiv-comportamentală (anxios-fobică etc.)</w:t>
      </w:r>
    </w:p>
    <w:p w14:paraId="530703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ale funcţiei sociale (mutism electiv etc.)</w:t>
      </w:r>
    </w:p>
    <w:p w14:paraId="4F28F3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Ticuri cronice (motorii, vocale, boala Gilles de la Tourette)</w:t>
      </w:r>
    </w:p>
    <w:p w14:paraId="71168D5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tulburări de comportament şi emoţionale (encomprezis, enurezis diurn, bolboroseală, balbism etc.)</w:t>
      </w:r>
    </w:p>
    <w:p w14:paraId="09397B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mentale organice</w:t>
      </w:r>
    </w:p>
    <w:p w14:paraId="7D504E7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Traumatism cranian forte (în ultimele 6 luni) şi sechele după traumatism cranian</w:t>
      </w:r>
    </w:p>
    <w:p w14:paraId="0CDE9B3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Epilepsie cu crize rezistente la tratament</w:t>
      </w:r>
    </w:p>
    <w:p w14:paraId="52F4AC1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Handicap motor sau neuromotor (paralizii cerebrale infantile - boala Little, plegii; boli neuromusculare miastenii, distrofie musculară Duchenne, miotonii, miopatii; afecţiuni inflamatorii, tumorale, vasculare cerebrale sau periferice)</w:t>
      </w:r>
    </w:p>
    <w:p w14:paraId="0F7B1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Meningită sau meningoencefalită (în ultimul an) ori sechele după acestea</w:t>
      </w:r>
    </w:p>
    <w:p w14:paraId="00AA8A3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afecţiuni neuropsihice manifeste</w:t>
      </w:r>
    </w:p>
    <w:p w14:paraId="2985946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Hipoacuzii cu pierdere socială de auz mai mare de 20 decibeli</w:t>
      </w:r>
    </w:p>
    <w:p w14:paraId="049B4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Otită medie supurată bilaterală recidivantă (în ultimele 6 luni)</w:t>
      </w:r>
    </w:p>
    <w:p w14:paraId="53571E1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de dicţie şi fonaţie, care împiedică o comunicare cvasinormală (dificultăţi importante în pronunţarea unor foneme, rinolalie, sigmatism etc.)</w:t>
      </w:r>
    </w:p>
    <w:p w14:paraId="50296DF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Sindrom Meni'f3re</w:t>
      </w:r>
    </w:p>
    <w:p w14:paraId="606D9C8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boli O.R.L. severe</w:t>
      </w:r>
    </w:p>
    <w:p w14:paraId="681A355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ambii ochi sub 1/2 cc</w:t>
      </w:r>
    </w:p>
    <w:p w14:paraId="507E209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un ochi sub 1/10 (inclusiv lipsa unui ochi), indiferent de acuitatea vizuală la celălalt ochi</w:t>
      </w:r>
    </w:p>
    <w:p w14:paraId="11B4A7E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Miopie progresivă cu leziuni de coroidoză miopigenă la fundul de ochi</w:t>
      </w:r>
    </w:p>
    <w:p w14:paraId="5A9A36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Astigmatism cu tulburări mari de acomodare</w:t>
      </w:r>
    </w:p>
    <w:p w14:paraId="69283C2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Strabism cu tulburări accentuate de motilitate oculară, care necesită tratament ortoptic (sau cu ambliopie forte ori medie, în curs de recuperare)</w:t>
      </w:r>
    </w:p>
    <w:p w14:paraId="4797DA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grave oculare (glaucom congenital, dezlipiri de retină sub 1 an, cu acuitate vizuală normală etc.)</w:t>
      </w:r>
    </w:p>
    <w:p w14:paraId="27A3DE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Eczemă cronică întinsă, rebelă la tratament</w:t>
      </w:r>
    </w:p>
    <w:p w14:paraId="54A3FF2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Dermatoză micotică manifestă</w:t>
      </w:r>
    </w:p>
    <w:p w14:paraId="327F57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Dermatoze buloase</w:t>
      </w:r>
    </w:p>
    <w:p w14:paraId="5A3975D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Psoriazis întins</w:t>
      </w:r>
    </w:p>
    <w:p w14:paraId="69698C1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boli cronice de piele cu tulburări manifeste</w:t>
      </w:r>
    </w:p>
    <w:p w14:paraId="1130654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Malformaţii congenitale ale membrelor (ectromelii transversale sau longitudinale, aplazii de membre ori de segmente de membre)</w:t>
      </w:r>
    </w:p>
    <w:p w14:paraId="08A98E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Scolioze congenitale sau esenţiale mai mari de 20°</w:t>
      </w:r>
    </w:p>
    <w:p w14:paraId="6BCA23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Inegalităţi de membre, mai mari de 2 cm</w:t>
      </w:r>
    </w:p>
    <w:p w14:paraId="44AE69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Luxaţie congenitală de şold</w:t>
      </w:r>
    </w:p>
    <w:p w14:paraId="721EE35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Picior strâmb congenital în tratament</w:t>
      </w:r>
    </w:p>
    <w:p w14:paraId="2603C3E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Artrogripoză</w:t>
      </w:r>
    </w:p>
    <w:p w14:paraId="797FBD0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Pectus excavatum cu insuficienţă respiratorie de tip restrictiv sub 75%</w:t>
      </w:r>
    </w:p>
    <w:p w14:paraId="34847B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Osteomielită acută sau cronică</w:t>
      </w:r>
    </w:p>
    <w:p w14:paraId="598D7C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Sechele motorii după poliomielită</w:t>
      </w:r>
    </w:p>
    <w:p w14:paraId="23EA3F9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Tumori benigne sau maligne ale aparatului locomotor</w:t>
      </w:r>
    </w:p>
    <w:p w14:paraId="6C96DC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Osteocondrită de şold</w:t>
      </w:r>
    </w:p>
    <w:p w14:paraId="7283AD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traumatică totală chirurgicală cu osteosinteză metalică (fracturi)</w:t>
      </w:r>
    </w:p>
    <w:p w14:paraId="409BEB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osteomusculoarticulare, congenitale sau dobândite, cu semne clinice manifeste</w:t>
      </w:r>
    </w:p>
    <w:p w14:paraId="22BA70BC" w14:textId="3A55BA30" w:rsidR="000C255B" w:rsidRPr="0077266C" w:rsidRDefault="007C31CF" w:rsidP="007C31CF">
      <w:pPr>
        <w:numPr>
          <w:ilvl w:val="0"/>
          <w:numId w:val="6"/>
        </w:numPr>
        <w:shd w:val="clear" w:color="auto" w:fill="FEFEFE"/>
        <w:spacing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cronică severă pe care specialistul din domeniul medical respectiv o consideră stânjenitoare unei şcolarizări normale la vârsta de 6 ani.</w:t>
      </w:r>
    </w:p>
    <w:sectPr w:rsidR="000C255B" w:rsidRPr="0077266C" w:rsidSect="00C63821">
      <w:headerReference w:type="default" r:id="rId10"/>
      <w:pgSz w:w="11906" w:h="16838"/>
      <w:pgMar w:top="1440" w:right="1080" w:bottom="1440" w:left="108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070B" w14:textId="77777777" w:rsidR="008E283D" w:rsidRDefault="008E283D">
      <w:pPr>
        <w:spacing w:after="0" w:line="240" w:lineRule="auto"/>
      </w:pPr>
      <w:r>
        <w:separator/>
      </w:r>
    </w:p>
  </w:endnote>
  <w:endnote w:type="continuationSeparator" w:id="0">
    <w:p w14:paraId="763F3BD7" w14:textId="77777777" w:rsidR="008E283D" w:rsidRDefault="008E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44E6A" w14:textId="77777777" w:rsidR="008E283D" w:rsidRDefault="008E283D">
      <w:pPr>
        <w:spacing w:after="0" w:line="240" w:lineRule="auto"/>
      </w:pPr>
      <w:r>
        <w:separator/>
      </w:r>
    </w:p>
  </w:footnote>
  <w:footnote w:type="continuationSeparator" w:id="0">
    <w:p w14:paraId="1656ED18" w14:textId="77777777" w:rsidR="008E283D" w:rsidRDefault="008E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1"/>
      <w:gridCol w:w="4861"/>
      <w:gridCol w:w="1276"/>
      <w:gridCol w:w="3118"/>
    </w:tblGrid>
    <w:tr w:rsidR="00410A9B" w14:paraId="53E6F646" w14:textId="77777777" w:rsidTr="00410A9B">
      <w:trPr>
        <w:trHeight w:val="1495"/>
      </w:trPr>
      <w:tc>
        <w:tcPr>
          <w:tcW w:w="1201" w:type="dxa"/>
          <w:vAlign w:val="center"/>
        </w:tcPr>
        <w:p w14:paraId="0B61E097" w14:textId="2C3A039F" w:rsidR="00410A9B" w:rsidRDefault="00410A9B" w:rsidP="00CD75C3">
          <w:pPr>
            <w:tabs>
              <w:tab w:val="left" w:pos="6000"/>
            </w:tabs>
            <w:jc w:val="center"/>
          </w:pPr>
        </w:p>
      </w:tc>
      <w:tc>
        <w:tcPr>
          <w:tcW w:w="4861" w:type="dxa"/>
        </w:tcPr>
        <w:p w14:paraId="0088FB38" w14:textId="77777777" w:rsidR="00410A9B" w:rsidRDefault="00410A9B" w:rsidP="00DF029C">
          <w:pPr>
            <w:tabs>
              <w:tab w:val="left" w:pos="6000"/>
            </w:tabs>
          </w:pPr>
        </w:p>
      </w:tc>
      <w:tc>
        <w:tcPr>
          <w:tcW w:w="1276" w:type="dxa"/>
          <w:vAlign w:val="center"/>
        </w:tcPr>
        <w:p w14:paraId="221A477F" w14:textId="04576039" w:rsidR="00410A9B" w:rsidRPr="00CD75C3" w:rsidRDefault="00410A9B" w:rsidP="00410A9B">
          <w:pPr>
            <w:tabs>
              <w:tab w:val="left" w:pos="34"/>
            </w:tabs>
          </w:pPr>
        </w:p>
      </w:tc>
      <w:tc>
        <w:tcPr>
          <w:tcW w:w="3118" w:type="dxa"/>
          <w:vAlign w:val="center"/>
        </w:tcPr>
        <w:p w14:paraId="653596CC" w14:textId="22FAA34C" w:rsidR="00410A9B" w:rsidRPr="00CD75C3" w:rsidRDefault="00410A9B" w:rsidP="00410A9B">
          <w:pPr>
            <w:tabs>
              <w:tab w:val="left" w:pos="34"/>
            </w:tabs>
          </w:pPr>
        </w:p>
      </w:tc>
    </w:tr>
  </w:tbl>
  <w:p w14:paraId="5E82BBA3" w14:textId="48A9A43B" w:rsidR="007320C5" w:rsidRPr="007320C5" w:rsidRDefault="001F6323" w:rsidP="00410A9B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72DC5" wp14:editId="1F1F9EF7">
          <wp:simplePos x="0" y="0"/>
          <wp:positionH relativeFrom="column">
            <wp:posOffset>-205740</wp:posOffset>
          </wp:positionH>
          <wp:positionV relativeFrom="paragraph">
            <wp:posOffset>-978926</wp:posOffset>
          </wp:positionV>
          <wp:extent cx="6533515" cy="936625"/>
          <wp:effectExtent l="0" t="0" r="635" b="0"/>
          <wp:wrapNone/>
          <wp:docPr id="2" name="Imagin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515" cy="9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1B2"/>
    <w:multiLevelType w:val="hybridMultilevel"/>
    <w:tmpl w:val="95A8B8E6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3C07"/>
    <w:multiLevelType w:val="hybridMultilevel"/>
    <w:tmpl w:val="46CECBA2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3C2"/>
    <w:multiLevelType w:val="hybridMultilevel"/>
    <w:tmpl w:val="661230FA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6E0C"/>
    <w:multiLevelType w:val="hybridMultilevel"/>
    <w:tmpl w:val="4050AA8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38877EC"/>
    <w:multiLevelType w:val="multilevel"/>
    <w:tmpl w:val="DF7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1FF8"/>
    <w:multiLevelType w:val="hybridMultilevel"/>
    <w:tmpl w:val="34DEAF68"/>
    <w:lvl w:ilvl="0" w:tplc="C17EBB90">
      <w:start w:val="357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8426F9"/>
    <w:multiLevelType w:val="multilevel"/>
    <w:tmpl w:val="9BBE4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E"/>
    <w:rsid w:val="B3FFA3F6"/>
    <w:rsid w:val="0000311B"/>
    <w:rsid w:val="0000669C"/>
    <w:rsid w:val="0004308F"/>
    <w:rsid w:val="00045141"/>
    <w:rsid w:val="00062292"/>
    <w:rsid w:val="00072C7D"/>
    <w:rsid w:val="000730EC"/>
    <w:rsid w:val="000A48F9"/>
    <w:rsid w:val="000C137C"/>
    <w:rsid w:val="000C255B"/>
    <w:rsid w:val="000D7715"/>
    <w:rsid w:val="000F3918"/>
    <w:rsid w:val="000F563C"/>
    <w:rsid w:val="001005E6"/>
    <w:rsid w:val="00130EA1"/>
    <w:rsid w:val="001317D8"/>
    <w:rsid w:val="001800EC"/>
    <w:rsid w:val="00184D4F"/>
    <w:rsid w:val="001A2889"/>
    <w:rsid w:val="001D0196"/>
    <w:rsid w:val="001D5463"/>
    <w:rsid w:val="001E0037"/>
    <w:rsid w:val="001F162A"/>
    <w:rsid w:val="001F6323"/>
    <w:rsid w:val="0021573E"/>
    <w:rsid w:val="002465D0"/>
    <w:rsid w:val="0024707F"/>
    <w:rsid w:val="002524FE"/>
    <w:rsid w:val="00262996"/>
    <w:rsid w:val="00272CE3"/>
    <w:rsid w:val="00294416"/>
    <w:rsid w:val="00296FA3"/>
    <w:rsid w:val="002B01FE"/>
    <w:rsid w:val="002B3433"/>
    <w:rsid w:val="002B4AB0"/>
    <w:rsid w:val="002C5EB9"/>
    <w:rsid w:val="002E15B3"/>
    <w:rsid w:val="00300EF2"/>
    <w:rsid w:val="003022CD"/>
    <w:rsid w:val="00312F9D"/>
    <w:rsid w:val="003353A6"/>
    <w:rsid w:val="00337DDA"/>
    <w:rsid w:val="00391B29"/>
    <w:rsid w:val="0039352D"/>
    <w:rsid w:val="003A0564"/>
    <w:rsid w:val="003B5726"/>
    <w:rsid w:val="003C064A"/>
    <w:rsid w:val="003F041A"/>
    <w:rsid w:val="0040701E"/>
    <w:rsid w:val="004072DC"/>
    <w:rsid w:val="00410A9B"/>
    <w:rsid w:val="00427D22"/>
    <w:rsid w:val="004418C4"/>
    <w:rsid w:val="0046040B"/>
    <w:rsid w:val="00467C69"/>
    <w:rsid w:val="00483E05"/>
    <w:rsid w:val="004A5D38"/>
    <w:rsid w:val="004A6DFC"/>
    <w:rsid w:val="00521916"/>
    <w:rsid w:val="005222C4"/>
    <w:rsid w:val="005461DE"/>
    <w:rsid w:val="005700E8"/>
    <w:rsid w:val="0057697F"/>
    <w:rsid w:val="00581130"/>
    <w:rsid w:val="005A31E2"/>
    <w:rsid w:val="005B4E35"/>
    <w:rsid w:val="005C0AAB"/>
    <w:rsid w:val="005C0BA6"/>
    <w:rsid w:val="005D5D0B"/>
    <w:rsid w:val="005E3D41"/>
    <w:rsid w:val="005E46E4"/>
    <w:rsid w:val="005E5193"/>
    <w:rsid w:val="006003DD"/>
    <w:rsid w:val="00656B68"/>
    <w:rsid w:val="006814ED"/>
    <w:rsid w:val="006931DA"/>
    <w:rsid w:val="006A7B6C"/>
    <w:rsid w:val="006C25C6"/>
    <w:rsid w:val="006D6C57"/>
    <w:rsid w:val="006E5AD1"/>
    <w:rsid w:val="007028BF"/>
    <w:rsid w:val="007320C5"/>
    <w:rsid w:val="0074470E"/>
    <w:rsid w:val="007529A9"/>
    <w:rsid w:val="0077266C"/>
    <w:rsid w:val="00795AFF"/>
    <w:rsid w:val="007A572D"/>
    <w:rsid w:val="007A6B44"/>
    <w:rsid w:val="007C31CF"/>
    <w:rsid w:val="007E15C2"/>
    <w:rsid w:val="007E4BAF"/>
    <w:rsid w:val="007E6525"/>
    <w:rsid w:val="008115DC"/>
    <w:rsid w:val="00815800"/>
    <w:rsid w:val="00846617"/>
    <w:rsid w:val="00846AD2"/>
    <w:rsid w:val="008633F9"/>
    <w:rsid w:val="00872648"/>
    <w:rsid w:val="00877DF3"/>
    <w:rsid w:val="00893797"/>
    <w:rsid w:val="0089541E"/>
    <w:rsid w:val="008A0E57"/>
    <w:rsid w:val="008B67B7"/>
    <w:rsid w:val="008D0B6A"/>
    <w:rsid w:val="008E0206"/>
    <w:rsid w:val="008E07E4"/>
    <w:rsid w:val="008E283D"/>
    <w:rsid w:val="008F3115"/>
    <w:rsid w:val="00903E79"/>
    <w:rsid w:val="00904252"/>
    <w:rsid w:val="00913AF3"/>
    <w:rsid w:val="00915C36"/>
    <w:rsid w:val="00943F02"/>
    <w:rsid w:val="009605AE"/>
    <w:rsid w:val="00962F28"/>
    <w:rsid w:val="00963236"/>
    <w:rsid w:val="00970ACC"/>
    <w:rsid w:val="009875E8"/>
    <w:rsid w:val="00990289"/>
    <w:rsid w:val="00996A91"/>
    <w:rsid w:val="009B48BF"/>
    <w:rsid w:val="00A0669B"/>
    <w:rsid w:val="00A069A4"/>
    <w:rsid w:val="00A236F8"/>
    <w:rsid w:val="00A44A0B"/>
    <w:rsid w:val="00A46819"/>
    <w:rsid w:val="00A53A3F"/>
    <w:rsid w:val="00A55A95"/>
    <w:rsid w:val="00A70EB5"/>
    <w:rsid w:val="00A9377D"/>
    <w:rsid w:val="00AA2207"/>
    <w:rsid w:val="00AA3E9D"/>
    <w:rsid w:val="00AB704C"/>
    <w:rsid w:val="00AE3BE8"/>
    <w:rsid w:val="00AE7335"/>
    <w:rsid w:val="00AF3CA2"/>
    <w:rsid w:val="00B010E4"/>
    <w:rsid w:val="00B03FE4"/>
    <w:rsid w:val="00B0731C"/>
    <w:rsid w:val="00B27513"/>
    <w:rsid w:val="00B47D5D"/>
    <w:rsid w:val="00B50ACF"/>
    <w:rsid w:val="00B53447"/>
    <w:rsid w:val="00B60CA7"/>
    <w:rsid w:val="00B720E1"/>
    <w:rsid w:val="00C269D8"/>
    <w:rsid w:val="00C63821"/>
    <w:rsid w:val="00C665E8"/>
    <w:rsid w:val="00C85150"/>
    <w:rsid w:val="00C87F66"/>
    <w:rsid w:val="00CB6C7D"/>
    <w:rsid w:val="00CC5F94"/>
    <w:rsid w:val="00CD75C3"/>
    <w:rsid w:val="00CD7BF8"/>
    <w:rsid w:val="00CD7D55"/>
    <w:rsid w:val="00CE06F8"/>
    <w:rsid w:val="00CE5165"/>
    <w:rsid w:val="00CE5DC1"/>
    <w:rsid w:val="00D11371"/>
    <w:rsid w:val="00D26620"/>
    <w:rsid w:val="00D45752"/>
    <w:rsid w:val="00D476D4"/>
    <w:rsid w:val="00D61A80"/>
    <w:rsid w:val="00D86BFB"/>
    <w:rsid w:val="00DA0251"/>
    <w:rsid w:val="00DB3881"/>
    <w:rsid w:val="00DD7E9A"/>
    <w:rsid w:val="00DF5E8E"/>
    <w:rsid w:val="00DF6A15"/>
    <w:rsid w:val="00E04E5F"/>
    <w:rsid w:val="00E43330"/>
    <w:rsid w:val="00E63040"/>
    <w:rsid w:val="00E703B6"/>
    <w:rsid w:val="00E757D3"/>
    <w:rsid w:val="00E87390"/>
    <w:rsid w:val="00E9100A"/>
    <w:rsid w:val="00EA532F"/>
    <w:rsid w:val="00EB3AD7"/>
    <w:rsid w:val="00ED42B7"/>
    <w:rsid w:val="00EE24E8"/>
    <w:rsid w:val="00EE46D3"/>
    <w:rsid w:val="00EF05F2"/>
    <w:rsid w:val="00EF1987"/>
    <w:rsid w:val="00F277C3"/>
    <w:rsid w:val="00F42BF4"/>
    <w:rsid w:val="00F451F7"/>
    <w:rsid w:val="00F54276"/>
    <w:rsid w:val="00F5794F"/>
    <w:rsid w:val="00F70005"/>
    <w:rsid w:val="00F830A3"/>
    <w:rsid w:val="00FA6144"/>
    <w:rsid w:val="00FB1872"/>
    <w:rsid w:val="00FB1CEA"/>
    <w:rsid w:val="00FB73F3"/>
    <w:rsid w:val="00FC1019"/>
    <w:rsid w:val="00FC3FD5"/>
    <w:rsid w:val="00FC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A71A"/>
  <w15:docId w15:val="{42BDCA97-F869-4955-BA06-96A1000D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43F02"/>
  </w:style>
  <w:style w:type="character" w:customStyle="1" w:styleId="FooterChar">
    <w:name w:val="Footer Char"/>
    <w:basedOn w:val="DefaultParagraphFont"/>
    <w:link w:val="Footer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AF3CA2"/>
    <w:pPr>
      <w:ind w:left="720"/>
      <w:contextualSpacing/>
    </w:pPr>
  </w:style>
  <w:style w:type="table" w:styleId="TableGrid">
    <w:name w:val="Table Grid"/>
    <w:basedOn w:val="TableNormal"/>
    <w:uiPriority w:val="39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D77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gistratura@isjt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2309C-5E54-48B4-9D9B-66A02DA6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agroza</dc:creator>
  <cp:lastModifiedBy>User</cp:lastModifiedBy>
  <cp:revision>2</cp:revision>
  <cp:lastPrinted>2022-03-28T05:11:00Z</cp:lastPrinted>
  <dcterms:created xsi:type="dcterms:W3CDTF">2023-03-27T06:49:00Z</dcterms:created>
  <dcterms:modified xsi:type="dcterms:W3CDTF">2023-03-27T06:49:00Z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